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32"/>
          <w:lang w:val="en-US" w:eastAsia="zh-CN"/>
        </w:rPr>
        <w:t xml:space="preserve">附件：2 </w:t>
      </w:r>
    </w:p>
    <w:p>
      <w:pPr>
        <w:pStyle w:val="4"/>
        <w:jc w:val="center"/>
        <w:rPr>
          <w:rFonts w:hint="default"/>
          <w:color w:val="333333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32"/>
          <w:lang w:val="en-US" w:eastAsia="zh-CN"/>
        </w:rPr>
        <w:t>分项报价表</w:t>
      </w:r>
    </w:p>
    <w:tbl>
      <w:tblPr>
        <w:tblStyle w:val="6"/>
        <w:tblW w:w="10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175"/>
        <w:gridCol w:w="2221"/>
        <w:gridCol w:w="1573"/>
        <w:gridCol w:w="182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单项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单价（元/件）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数量（件）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  <w:t>淮北一中2025级</w:t>
            </w:r>
          </w:p>
          <w:p>
            <w:pPr>
              <w:jc w:val="center"/>
              <w:rPr>
                <w:rFonts w:hint="default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  <w:t>新生校服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夏季校服（T 恤）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夏季校服（薄长裤）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春秋季运动服（上衣）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春秋季运动服（裤子）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冬季棉服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3" w:hRule="atLeast"/>
          <w:jc w:val="center"/>
        </w:trPr>
        <w:tc>
          <w:tcPr>
            <w:tcW w:w="4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333333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333333"/>
                <w:sz w:val="22"/>
                <w:szCs w:val="22"/>
                <w:highlight w:val="none"/>
                <w:lang w:val="en-US" w:eastAsia="zh-CN"/>
              </w:rPr>
              <w:t>合计（元/人/套）</w:t>
            </w:r>
          </w:p>
        </w:tc>
        <w:tc>
          <w:tcPr>
            <w:tcW w:w="5249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  <w:p>
            <w:pPr>
              <w:pStyle w:val="4"/>
              <w:rPr>
                <w:rFonts w:hint="eastAsia" w:ascii="宋体" w:hAnsi="宋体"/>
                <w:color w:val="333333"/>
                <w:sz w:val="22"/>
                <w:szCs w:val="22"/>
                <w:highlight w:val="none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rPr>
          <w:color w:val="3333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50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8F59"/>
    <w:rsid w:val="7FEB8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ind w:firstLine="645"/>
    </w:pPr>
    <w:rPr>
      <w:rFonts w:ascii="Arial" w:hAnsi="Arial" w:eastAsia="仿宋_GB2312"/>
      <w:sz w:val="28"/>
    </w:rPr>
  </w:style>
  <w:style w:type="paragraph" w:styleId="3">
    <w:name w:val="envelope return"/>
    <w:basedOn w:val="1"/>
    <w:uiPriority w:val="0"/>
  </w:style>
  <w:style w:type="paragraph" w:styleId="4">
    <w:name w:val="Body Text First Indent 2"/>
    <w:basedOn w:val="2"/>
    <w:next w:val="1"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2025-09-30T21:33:00Z</dcterms:created>
  <dc:creator>a10.12</dc:creator>
  <cp:lastModifiedBy>a10.12</cp:lastModifiedBy>
  <dcterms:modified xsi:type="dcterms:W3CDTF">2025-09-30T21:33:56Z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